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953252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3983b34-b45f-4a25-94f4-a03dbdec5cc0" w:id="1"/>
      <w:r>
        <w:rPr>
          <w:rFonts w:ascii="Times New Roman" w:hAnsi="Times New Roman"/>
          <w:b/>
          <w:i w:val="false"/>
          <w:color w:val="000000"/>
          <w:sz w:val="28"/>
        </w:rPr>
        <w:t>Министерство образования нуки и просвещения ЧР</w:t>
      </w:r>
      <w:bookmarkEnd w:id="1"/>
      <w:r>
        <w:rPr>
          <w:rFonts w:ascii="Times New Roman" w:hAnsi="Times New Roman"/>
          <w:b/>
          <w:i w:val="false"/>
          <w:color w:val="000000"/>
          <w:sz w:val="28"/>
        </w:rPr>
        <w:t xml:space="preserve"> </w:t>
      </w:r>
    </w:p>
    <w:p>
      <w:pPr>
        <w:spacing w:before="0" w:after="0" w:line="408"/>
        <w:ind w:left="120"/>
        <w:jc w:val="center"/>
      </w:pPr>
      <w:bookmarkStart w:name="0b39eddd-ebf7-404c-8ed4-76991eb8dd98" w:id="2"/>
      <w:r>
        <w:rPr>
          <w:rFonts w:ascii="Times New Roman" w:hAnsi="Times New Roman"/>
          <w:b/>
          <w:i w:val="false"/>
          <w:color w:val="000000"/>
          <w:sz w:val="28"/>
        </w:rPr>
        <w:t>Отдел образования Гудермесского муниципального района</w:t>
      </w:r>
      <w:bookmarkEnd w:id="2"/>
    </w:p>
    <w:p>
      <w:pPr>
        <w:spacing w:before="0" w:after="0" w:line="408"/>
        <w:ind w:left="120"/>
        <w:jc w:val="center"/>
      </w:pPr>
      <w:r>
        <w:rPr>
          <w:rFonts w:ascii="Times New Roman" w:hAnsi="Times New Roman"/>
          <w:b/>
          <w:i w:val="false"/>
          <w:color w:val="000000"/>
          <w:sz w:val="28"/>
        </w:rPr>
        <w:t>МБОУ «Джалкинская СШ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И.Р. Канаева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Х.Д. Алимханова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Н.Х. Юнусов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5200084)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b20cd3b3-5277-4ad9-b272-db2c514c2082" w:id="3"/>
      <w:r>
        <w:rPr>
          <w:rFonts w:ascii="Times New Roman" w:hAnsi="Times New Roman"/>
          <w:b/>
          <w:i w:val="false"/>
          <w:color w:val="000000"/>
          <w:sz w:val="28"/>
        </w:rPr>
        <w:t>с. Джалка</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2024-2025 учебный год</w:t>
      </w:r>
      <w:bookmarkEnd w:id="4"/>
    </w:p>
    <w:p>
      <w:pPr>
        <w:spacing w:before="0" w:after="0"/>
        <w:ind w:left="120"/>
        <w:jc w:val="left"/>
      </w:pPr>
    </w:p>
    <w:bookmarkStart w:name="block-39532523" w:id="5"/>
    <w:p>
      <w:pPr>
        <w:sectPr>
          <w:pgSz w:w="11906" w:h="16383" w:orient="portrait"/>
        </w:sectPr>
      </w:pPr>
    </w:p>
    <w:bookmarkEnd w:id="5"/>
    <w:bookmarkEnd w:id="0"/>
    <w:bookmarkStart w:name="block-3953252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39532529" w:id="7"/>
    <w:p>
      <w:pPr>
        <w:sectPr>
          <w:pgSz w:w="11906" w:h="16383" w:orient="portrait"/>
        </w:sectPr>
      </w:pPr>
    </w:p>
    <w:bookmarkEnd w:id="7"/>
    <w:bookmarkEnd w:id="6"/>
    <w:bookmarkStart w:name="block-39532524"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39532524" w:id="9"/>
    <w:p>
      <w:pPr>
        <w:sectPr>
          <w:pgSz w:w="11906" w:h="16383" w:orient="portrait"/>
        </w:sectPr>
      </w:pPr>
    </w:p>
    <w:bookmarkEnd w:id="9"/>
    <w:bookmarkEnd w:id="8"/>
    <w:bookmarkStart w:name="block-39532528"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39532528" w:id="11"/>
    <w:p>
      <w:pPr>
        <w:sectPr>
          <w:pgSz w:w="11906" w:h="16383" w:orient="portrait"/>
        </w:sectPr>
      </w:pPr>
    </w:p>
    <w:bookmarkEnd w:id="11"/>
    <w:bookmarkEnd w:id="10"/>
    <w:bookmarkStart w:name="block-3953252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4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144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12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39532525" w:id="13"/>
    <w:p>
      <w:pPr>
        <w:sectPr>
          <w:pgSz w:w="16383" w:h="11906" w:orient="landscape"/>
        </w:sectPr>
      </w:pPr>
    </w:p>
    <w:bookmarkEnd w:id="13"/>
    <w:bookmarkEnd w:id="12"/>
    <w:bookmarkStart w:name="block-39532526"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34"/>
        <w:gridCol w:w="2800"/>
        <w:gridCol w:w="1177"/>
        <w:gridCol w:w="2173"/>
        <w:gridCol w:w="2315"/>
        <w:gridCol w:w="1782"/>
        <w:gridCol w:w="2813"/>
      </w:tblGrid>
      <w:tr>
        <w:trPr>
          <w:trHeight w:val="300" w:hRule="atLeast"/>
          <w:trHeight w:val="144" w:hRule="atLeast"/>
        </w:trPr>
        <w:tc>
          <w:tcPr>
            <w:tcW w:w="3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460"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48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 Всероссийская проверочная работа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54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05"/>
        <w:gridCol w:w="3091"/>
        <w:gridCol w:w="1127"/>
        <w:gridCol w:w="2115"/>
        <w:gridCol w:w="2261"/>
        <w:gridCol w:w="1740"/>
        <w:gridCol w:w="2755"/>
      </w:tblGrid>
      <w:tr>
        <w:trPr>
          <w:trHeight w:val="300" w:hRule="atLeast"/>
          <w:trHeight w:val="144" w:hRule="atLeast"/>
        </w:trPr>
        <w:tc>
          <w:tcPr>
            <w:tcW w:w="3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1620"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09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103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28.03.2025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63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 / Всероссийская проверочная работа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0"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02"/>
        <w:gridCol w:w="3120"/>
        <w:gridCol w:w="1122"/>
        <w:gridCol w:w="2109"/>
        <w:gridCol w:w="2256"/>
        <w:gridCol w:w="1736"/>
        <w:gridCol w:w="2749"/>
      </w:tblGrid>
      <w:tr>
        <w:trPr>
          <w:trHeight w:val="300" w:hRule="atLeast"/>
          <w:trHeight w:val="144" w:hRule="atLeast"/>
        </w:trPr>
        <w:tc>
          <w:tcPr>
            <w:tcW w:w="3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141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Финансовая безопасность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бюджет и финансовое планирование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21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208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его развитие. Информация и современный мир</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https://m.edsoo.ru/f5ec3a5e</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 / Всероссийская проверочная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https://m.edsoo.ru/f5ec3d60</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7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и противодействие коррупции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11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Мода и спорт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20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9532526" w:id="15"/>
    <w:p>
      <w:pPr>
        <w:sectPr>
          <w:pgSz w:w="16383" w:h="11906" w:orient="landscape"/>
        </w:sectPr>
      </w:pPr>
    </w:p>
    <w:bookmarkEnd w:id="15"/>
    <w:bookmarkEnd w:id="14"/>
    <w:bookmarkStart w:name="block-39532527"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9d96b998-0faf-4d98-a303-e3f31dec8ff2" w:id="17"/>
      <w:r>
        <w:rPr>
          <w:rFonts w:ascii="Times New Roman" w:hAnsi="Times New Roman"/>
          <w:b w:val="false"/>
          <w:i w:val="false"/>
          <w:color w:val="000000"/>
          <w:sz w:val="28"/>
        </w:rPr>
        <w:t>https://edsoo.ru/metodicheskie-materialy/</w:t>
      </w:r>
      <w:bookmarkEnd w:id="17"/>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61030ee2-5a26-4d9d-8782-2883f6f7ff11" w:id="18"/>
      <w:r>
        <w:rPr>
          <w:rFonts w:ascii="Times New Roman" w:hAnsi="Times New Roman"/>
          <w:b w:val="false"/>
          <w:i w:val="false"/>
          <w:color w:val="000000"/>
          <w:sz w:val="28"/>
        </w:rPr>
        <w:t>https.//resh.edu.ru/</w:t>
      </w:r>
      <w:bookmarkEnd w:id="18"/>
    </w:p>
    <w:bookmarkStart w:name="block-39532527" w:id="19"/>
    <w:p>
      <w:pPr>
        <w:sectPr>
          <w:pgSz w:w="11906" w:h="16383" w:orient="portrait"/>
        </w:sectPr>
      </w:pPr>
    </w:p>
    <w:bookmarkEnd w:id="19"/>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f72" Type="http://schemas.openxmlformats.org/officeDocument/2006/relationships/hyperlink" Id="rId148"/>
    <Relationship TargetMode="External" Target="https://m.edsoo.ru/f5ec3a5e" Type="http://schemas.openxmlformats.org/officeDocument/2006/relationships/hyperlink" Id="rId149"/>
    <Relationship TargetMode="External" Target="https://m.edsoo.ru/f5ec3bd0" Type="http://schemas.openxmlformats.org/officeDocument/2006/relationships/hyperlink" Id="rId150"/>
    <Relationship TargetMode="External" Target="https://m.edsoo.ru/f5ec3d60"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